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E32849" w:rsidRPr="00E0797C">
        <w:rPr>
          <w:b/>
          <w:sz w:val="24"/>
          <w:szCs w:val="24"/>
        </w:rPr>
        <w:t>Opracowanie wykonanie i montaż oznakowania granic Welskiego Parku Krajobrazowego</w:t>
      </w:r>
      <w:r w:rsidRPr="00DB5974">
        <w:rPr>
          <w:b/>
          <w:sz w:val="24"/>
          <w:szCs w:val="24"/>
        </w:rPr>
        <w:t>”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 xml:space="preserve">      </w:t>
      </w:r>
      <w:r w:rsidR="00402E96">
        <w:rPr>
          <w:sz w:val="24"/>
          <w:szCs w:val="24"/>
        </w:rPr>
        <w:t xml:space="preserve">               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</w:t>
      </w:r>
      <w:r w:rsidR="00402E96">
        <w:rPr>
          <w:sz w:val="24"/>
          <w:szCs w:val="24"/>
        </w:rPr>
        <w:t>…..</w:t>
      </w:r>
      <w:r w:rsidR="005064BA" w:rsidRPr="00DB5974">
        <w:rPr>
          <w:sz w:val="24"/>
          <w:szCs w:val="24"/>
        </w:rPr>
        <w:t xml:space="preserve">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</w:t>
      </w:r>
      <w:r w:rsidR="00056FA0">
        <w:rPr>
          <w:i/>
          <w:sz w:val="24"/>
          <w:szCs w:val="24"/>
        </w:rPr>
        <w:t>dnie z ofertą, nie dłużej niż 60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</w:t>
      </w:r>
      <w:r w:rsidR="00E32849">
        <w:rPr>
          <w:sz w:val="24"/>
          <w:szCs w:val="24"/>
        </w:rPr>
        <w:t>zycznych</w:t>
      </w:r>
      <w:bookmarkStart w:id="0" w:name="_GoBack"/>
      <w:bookmarkEnd w:id="0"/>
      <w:r w:rsidRPr="00DB5974">
        <w:rPr>
          <w:sz w:val="24"/>
          <w:szCs w:val="24"/>
        </w:rPr>
        <w:t>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Wynagrodzenie jest płatne w terminie 21 dni od daty otrzymania przez Zamawiającego prawidłowo wystawionej faktury, przelewem na rachunek bankowy Dostawcy </w:t>
      </w:r>
      <w:r w:rsidR="00056FA0">
        <w:rPr>
          <w:sz w:val="24"/>
          <w:szCs w:val="24"/>
        </w:rPr>
        <w:t>nr………………………………………………………………………………………………….</w:t>
      </w:r>
      <w:r w:rsidRPr="00DB5974">
        <w:rPr>
          <w:sz w:val="24"/>
          <w:szCs w:val="24"/>
        </w:rPr>
        <w:t>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7D" w:rsidRDefault="00BB287D">
      <w:r>
        <w:separator/>
      </w:r>
    </w:p>
  </w:endnote>
  <w:endnote w:type="continuationSeparator" w:id="0">
    <w:p w:rsidR="00BB287D" w:rsidRDefault="00B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7D" w:rsidRDefault="00BB287D">
      <w:r>
        <w:separator/>
      </w:r>
    </w:p>
  </w:footnote>
  <w:footnote w:type="continuationSeparator" w:id="0">
    <w:p w:rsidR="00BB287D" w:rsidRDefault="00BB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56FA0"/>
    <w:rsid w:val="00087A87"/>
    <w:rsid w:val="00402E96"/>
    <w:rsid w:val="004E33FF"/>
    <w:rsid w:val="005064BA"/>
    <w:rsid w:val="005F608F"/>
    <w:rsid w:val="00796BC0"/>
    <w:rsid w:val="00BB287D"/>
    <w:rsid w:val="00BF6800"/>
    <w:rsid w:val="00C2365C"/>
    <w:rsid w:val="00DB5974"/>
    <w:rsid w:val="00DF4C4B"/>
    <w:rsid w:val="00E32849"/>
    <w:rsid w:val="00E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9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cp:lastPrinted>2020-01-27T09:07:00Z</cp:lastPrinted>
  <dcterms:created xsi:type="dcterms:W3CDTF">2020-06-26T07:04:00Z</dcterms:created>
  <dcterms:modified xsi:type="dcterms:W3CDTF">2020-06-26T07:04:00Z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